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806" w:rsidRPr="00A97CFD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b/>
          <w:sz w:val="28"/>
          <w:szCs w:val="28"/>
        </w:rPr>
      </w:pPr>
      <w:r w:rsidRPr="00A97CFD">
        <w:rPr>
          <w:rStyle w:val="ng-star-inserted1"/>
          <w:rFonts w:ascii="Arial" w:hAnsi="Arial" w:cs="Arial"/>
          <w:b/>
          <w:sz w:val="28"/>
          <w:szCs w:val="28"/>
        </w:rPr>
        <w:t>TÀI LIỆU THAM KHẢO: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Ahmed, M., &amp; Raihan, S. (2021). Ready-made garments industry in Bangladesh: Performance and future challenges. In </w:t>
      </w:r>
      <w:proofErr w:type="gramStart"/>
      <w:r w:rsidRPr="004D2CC6">
        <w:rPr>
          <w:rStyle w:val="ng-star-inserted1"/>
          <w:rFonts w:ascii="Arial" w:hAnsi="Arial" w:cs="Arial"/>
          <w:sz w:val="28"/>
          <w:szCs w:val="28"/>
        </w:rPr>
        <w:t>The</w:t>
      </w:r>
      <w:proofErr w:type="gram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Garment Industry in South Asia (pp. 39-64). Routledge.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sz w:val="28"/>
          <w:szCs w:val="28"/>
        </w:rPr>
      </w:pPr>
      <w:proofErr w:type="spellStart"/>
      <w:r w:rsidRPr="004D2CC6">
        <w:rPr>
          <w:rFonts w:ascii="Arial" w:eastAsia="Times New Roman" w:hAnsi="Arial" w:cs="Arial"/>
          <w:sz w:val="28"/>
          <w:szCs w:val="28"/>
        </w:rPr>
        <w:t>Aithal</w:t>
      </w:r>
      <w:proofErr w:type="spellEnd"/>
      <w:r w:rsidRPr="004D2CC6">
        <w:rPr>
          <w:rFonts w:ascii="Arial" w:eastAsia="Times New Roman" w:hAnsi="Arial" w:cs="Arial"/>
          <w:sz w:val="28"/>
          <w:szCs w:val="28"/>
        </w:rPr>
        <w:t xml:space="preserve">, P. S., &amp; </w:t>
      </w:r>
      <w:proofErr w:type="spellStart"/>
      <w:r w:rsidRPr="004D2CC6">
        <w:rPr>
          <w:rFonts w:ascii="Arial" w:eastAsia="Times New Roman" w:hAnsi="Arial" w:cs="Arial"/>
          <w:sz w:val="28"/>
          <w:szCs w:val="28"/>
        </w:rPr>
        <w:t>Aithal</w:t>
      </w:r>
      <w:proofErr w:type="spellEnd"/>
      <w:r w:rsidRPr="004D2CC6">
        <w:rPr>
          <w:rFonts w:ascii="Arial" w:eastAsia="Times New Roman" w:hAnsi="Arial" w:cs="Arial"/>
          <w:sz w:val="28"/>
          <w:szCs w:val="28"/>
        </w:rPr>
        <w:t>, S. (2018). Challenges and opportunities for Indian textile and apparel industry in the wake of global competition. </w:t>
      </w:r>
      <w:r w:rsidRPr="004D2CC6">
        <w:rPr>
          <w:rFonts w:ascii="Arial" w:eastAsia="Times New Roman" w:hAnsi="Arial" w:cs="Arial"/>
          <w:i/>
          <w:iCs/>
          <w:sz w:val="28"/>
          <w:szCs w:val="28"/>
        </w:rPr>
        <w:t>International Journal of Research in Commerce &amp; Management Studies</w:t>
      </w:r>
      <w:r w:rsidRPr="004D2CC6">
        <w:rPr>
          <w:rFonts w:ascii="Arial" w:eastAsia="Times New Roman" w:hAnsi="Arial" w:cs="Arial"/>
          <w:sz w:val="28"/>
          <w:szCs w:val="28"/>
        </w:rPr>
        <w:t>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Deloitte. (2021). The Future of Fashion: How technology is transforming the industry. [Link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tới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tài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liệu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>]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Ellen MacArthur Foundation. (2017). A New Textiles Economy: Redesigning Fashion's Future. 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Ellen MacArthur Foundation. (2020). A New Textiles Economy: Redesigning fashion's future. 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Fashion Revolution. (2023). Fashion Transparency Index.  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sz w:val="28"/>
          <w:szCs w:val="28"/>
        </w:rPr>
      </w:pPr>
      <w:proofErr w:type="spellStart"/>
      <w:r w:rsidRPr="004D2CC6">
        <w:rPr>
          <w:rFonts w:ascii="Arial" w:eastAsia="Times New Roman" w:hAnsi="Arial" w:cs="Arial"/>
          <w:sz w:val="28"/>
          <w:szCs w:val="28"/>
        </w:rPr>
        <w:t>Gereffi</w:t>
      </w:r>
      <w:proofErr w:type="spellEnd"/>
      <w:r w:rsidRPr="004D2CC6">
        <w:rPr>
          <w:rFonts w:ascii="Arial" w:eastAsia="Times New Roman" w:hAnsi="Arial" w:cs="Arial"/>
          <w:sz w:val="28"/>
          <w:szCs w:val="28"/>
        </w:rPr>
        <w:t>, G., &amp; Frederick, S. (2010). The global apparel value chain, trade and the crisis: Challenges and opportunities for developing countries.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Global Fashion Agenda. (2020). Pulse of the Fashion Industry: 2020 Report. 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H&amp;M Group. (2022). Sustainability Performance Report 2022.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sz w:val="28"/>
          <w:szCs w:val="28"/>
        </w:rPr>
      </w:pPr>
      <w:r w:rsidRPr="004D2CC6">
        <w:rPr>
          <w:rFonts w:ascii="Arial" w:eastAsia="Times New Roman" w:hAnsi="Arial" w:cs="Arial"/>
          <w:sz w:val="28"/>
          <w:szCs w:val="28"/>
        </w:rPr>
        <w:t>ILO. (2019). </w:t>
      </w:r>
      <w:r w:rsidRPr="004D2CC6">
        <w:rPr>
          <w:rFonts w:ascii="Arial" w:eastAsia="Times New Roman" w:hAnsi="Arial" w:cs="Arial"/>
          <w:i/>
          <w:iCs/>
          <w:sz w:val="28"/>
          <w:szCs w:val="28"/>
        </w:rPr>
        <w:t>ASEAN in Transformation: How technology is changing jobs and enterprises</w:t>
      </w:r>
      <w:r w:rsidRPr="004D2CC6">
        <w:rPr>
          <w:rFonts w:ascii="Arial" w:eastAsia="Times New Roman" w:hAnsi="Arial" w:cs="Arial"/>
          <w:sz w:val="28"/>
          <w:szCs w:val="28"/>
        </w:rPr>
        <w:t>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Khan, M. R., &amp; Nath, H. K. (2020). Backward linkage of textile and clothing industry: An input-output analysis for Bangladesh. The Journal of Developing Economies, 167, 102533.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bCs/>
          <w:sz w:val="28"/>
          <w:szCs w:val="28"/>
        </w:rPr>
      </w:pPr>
      <w:r w:rsidRPr="004D2CC6">
        <w:rPr>
          <w:rFonts w:ascii="Arial" w:eastAsia="Times New Roman" w:hAnsi="Arial" w:cs="Arial"/>
          <w:bCs/>
          <w:sz w:val="28"/>
          <w:szCs w:val="28"/>
        </w:rPr>
        <w:t>Le, T. H., &amp; Tran, T. T. (2018). Factors affecting the export performance of Vietnam textile and garment industry. Journal of Asian Business and Economic Studies.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lastRenderedPageBreak/>
        <w:t xml:space="preserve">McKinsey &amp; Company. (2019). The Future of Fashion: How to navigate the next frontier of change. [Link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tới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tài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liệu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>]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McKinsey &amp; Company. (2021). The Future of Apparel Sourcing.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Truy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cập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từ </w:t>
      </w:r>
      <w:hyperlink r:id="rId4" w:tgtFrame="_blank" w:history="1">
        <w:r w:rsidRPr="004D2CC6">
          <w:rPr>
            <w:rStyle w:val="ng-star-inserted1"/>
            <w:rFonts w:ascii="Arial" w:hAnsi="Arial" w:cs="Arial"/>
            <w:sz w:val="28"/>
            <w:szCs w:val="28"/>
          </w:rPr>
          <w:t>https://www.mckinsey.com/industries/retail/our-insights/the-future-of-apparel-sourcing</w:t>
        </w:r>
      </w:hyperlink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Morlet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et al. (2016). Business models for sustainable innovation in the fashion industry: A review.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bCs/>
          <w:sz w:val="28"/>
          <w:szCs w:val="28"/>
        </w:rPr>
      </w:pPr>
      <w:r w:rsidRPr="004D2CC6">
        <w:rPr>
          <w:rFonts w:ascii="Arial" w:eastAsia="Times New Roman" w:hAnsi="Arial" w:cs="Arial"/>
          <w:bCs/>
          <w:sz w:val="28"/>
          <w:szCs w:val="28"/>
        </w:rPr>
        <w:t>Nguyen, H. M., Nguyen, H. T., &amp; Nguyen, T. T. (2021). The impact of free trade agreements on Vietnam's textile and garment exports. The Journal of Asian Finance, Economics and Business.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sz w:val="28"/>
          <w:szCs w:val="28"/>
        </w:rPr>
      </w:pPr>
      <w:r w:rsidRPr="004D2CC6">
        <w:rPr>
          <w:rFonts w:ascii="Arial" w:eastAsia="Times New Roman" w:hAnsi="Arial" w:cs="Arial"/>
          <w:sz w:val="28"/>
          <w:szCs w:val="28"/>
        </w:rPr>
        <w:t>OECD. (2021). </w:t>
      </w:r>
      <w:r w:rsidRPr="004D2CC6">
        <w:rPr>
          <w:rFonts w:ascii="Arial" w:eastAsia="Times New Roman" w:hAnsi="Arial" w:cs="Arial"/>
          <w:i/>
          <w:iCs/>
          <w:sz w:val="28"/>
          <w:szCs w:val="28"/>
        </w:rPr>
        <w:t>OECD Textile and Apparel Industry Scoreboard 2021</w:t>
      </w:r>
      <w:r w:rsidRPr="004D2CC6">
        <w:rPr>
          <w:rFonts w:ascii="Arial" w:eastAsia="Times New Roman" w:hAnsi="Arial" w:cs="Arial"/>
          <w:sz w:val="28"/>
          <w:szCs w:val="28"/>
        </w:rPr>
        <w:t>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Patagonia. (2023). Our Footprint. 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Sachinvala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et al. (2017). 3D printing and its applications in textiles.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Shen et al. (2020). Sustainable development of fashion supply chain in the perspective of environmental protection.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Sturgeon, T. J., &amp; Kawakami, M. (2010). Global value chains in the electronics industry: Was the crisis a window for upgrading by developing countries? World Development, 38(9), 1304-1319.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Sturgeon, T. J., &amp; Kawakami, M. (2010). Global value chains in the electronics industry: Was the crisis a window for upgrading by developing </w:t>
      </w:r>
      <w:proofErr w:type="gramStart"/>
      <w:r w:rsidRPr="004D2CC6">
        <w:rPr>
          <w:rStyle w:val="ng-star-inserted1"/>
          <w:rFonts w:ascii="Arial" w:hAnsi="Arial" w:cs="Arial"/>
          <w:sz w:val="28"/>
          <w:szCs w:val="28"/>
        </w:rPr>
        <w:t>countries?.</w:t>
      </w:r>
      <w:proofErr w:type="gramEnd"/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sz w:val="28"/>
          <w:szCs w:val="28"/>
        </w:rPr>
      </w:pPr>
      <w:r w:rsidRPr="004D2CC6">
        <w:rPr>
          <w:rFonts w:ascii="Arial" w:eastAsia="Times New Roman" w:hAnsi="Arial" w:cs="Arial"/>
          <w:sz w:val="28"/>
          <w:szCs w:val="28"/>
        </w:rPr>
        <w:t>Sturgeon, T. J., &amp; Kawakami, M. (2010). </w:t>
      </w:r>
      <w:r w:rsidRPr="004D2CC6">
        <w:rPr>
          <w:rFonts w:ascii="Arial" w:eastAsia="Times New Roman" w:hAnsi="Arial" w:cs="Arial"/>
          <w:i/>
          <w:iCs/>
          <w:sz w:val="28"/>
          <w:szCs w:val="28"/>
        </w:rPr>
        <w:t xml:space="preserve">Global value chains in the electronics industry: Was the crisis a window for upgrading by developing </w:t>
      </w:r>
      <w:proofErr w:type="gramStart"/>
      <w:r w:rsidRPr="004D2CC6">
        <w:rPr>
          <w:rFonts w:ascii="Arial" w:eastAsia="Times New Roman" w:hAnsi="Arial" w:cs="Arial"/>
          <w:i/>
          <w:iCs/>
          <w:sz w:val="28"/>
          <w:szCs w:val="28"/>
        </w:rPr>
        <w:t>countries?</w:t>
      </w:r>
      <w:r w:rsidRPr="004D2CC6">
        <w:rPr>
          <w:rFonts w:ascii="Arial" w:eastAsia="Times New Roman" w:hAnsi="Arial" w:cs="Arial"/>
          <w:sz w:val="28"/>
          <w:szCs w:val="28"/>
        </w:rPr>
        <w:t>.</w:t>
      </w:r>
      <w:proofErr w:type="gramEnd"/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Textile Exchange. (2022). Material Change Insights Report.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Truy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cập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từ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> </w:t>
      </w:r>
      <w:hyperlink r:id="rId5" w:tgtFrame="_blank" w:history="1">
        <w:r w:rsidRPr="004D2CC6">
          <w:rPr>
            <w:rStyle w:val="ng-star-inserted1"/>
            <w:rFonts w:ascii="Arial" w:hAnsi="Arial" w:cs="Arial"/>
            <w:sz w:val="28"/>
            <w:szCs w:val="28"/>
          </w:rPr>
          <w:t>https://textileexchange.org/material-change-insights-report/</w:t>
        </w:r>
      </w:hyperlink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lastRenderedPageBreak/>
        <w:t>Trinh, L. T., Nguyen, H. T., &amp; Nguyen, T. L. (2020). Developing sustainable supply chains in the textile and apparel industry: A case study in Vietnam. Sustainability, 12(11), 4371.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bCs/>
          <w:sz w:val="28"/>
          <w:szCs w:val="28"/>
        </w:rPr>
      </w:pPr>
      <w:r w:rsidRPr="004D2CC6">
        <w:rPr>
          <w:rFonts w:ascii="Arial" w:eastAsia="Times New Roman" w:hAnsi="Arial" w:cs="Arial"/>
          <w:bCs/>
          <w:sz w:val="28"/>
          <w:szCs w:val="28"/>
        </w:rPr>
        <w:t>UNCTAD. (2019). World Investment Report 2019: Special Economic Zones.</w:t>
      </w:r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sz w:val="28"/>
          <w:szCs w:val="28"/>
        </w:rPr>
      </w:pPr>
      <w:r w:rsidRPr="004D2CC6">
        <w:rPr>
          <w:rFonts w:ascii="Arial" w:eastAsia="Times New Roman" w:hAnsi="Arial" w:cs="Arial"/>
          <w:sz w:val="28"/>
          <w:szCs w:val="28"/>
        </w:rPr>
        <w:t>UNCTAD. (2022). </w:t>
      </w:r>
      <w:r w:rsidRPr="004D2CC6">
        <w:rPr>
          <w:rFonts w:ascii="Arial" w:eastAsia="Times New Roman" w:hAnsi="Arial" w:cs="Arial"/>
          <w:i/>
          <w:iCs/>
          <w:sz w:val="28"/>
          <w:szCs w:val="28"/>
        </w:rPr>
        <w:t>Economic Development in Africa Report 2022: Rethinking the Role of Foreign Direct Investment in Africa</w:t>
      </w:r>
      <w:r w:rsidRPr="004D2CC6">
        <w:rPr>
          <w:rFonts w:ascii="Arial" w:eastAsia="Times New Roman" w:hAnsi="Arial" w:cs="Arial"/>
          <w:sz w:val="28"/>
          <w:szCs w:val="28"/>
        </w:rPr>
        <w:t>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World Bank. (2018). The Apparel Industry: A Global Overview. [Link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tới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tài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liệu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>]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>World Bank. (2020). Bangladesh Development Update-April 2020: From Pandemic to Prosperity: Protecting People and Jobs While Building Resilience.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  <w:r w:rsidRPr="004D2CC6">
        <w:rPr>
          <w:rStyle w:val="ng-star-inserted1"/>
          <w:rFonts w:ascii="Arial" w:hAnsi="Arial" w:cs="Arial"/>
          <w:sz w:val="28"/>
          <w:szCs w:val="28"/>
        </w:rPr>
        <w:t xml:space="preserve">World Bank. (2020). Vietnam Country Economic Memorandum: Transitioning to Efficient, Innovative, and Inclusive Growth.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Truy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cập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 xml:space="preserve"> </w:t>
      </w:r>
      <w:proofErr w:type="spellStart"/>
      <w:r w:rsidRPr="004D2CC6">
        <w:rPr>
          <w:rStyle w:val="ng-star-inserted1"/>
          <w:rFonts w:ascii="Arial" w:hAnsi="Arial" w:cs="Arial"/>
          <w:sz w:val="28"/>
          <w:szCs w:val="28"/>
        </w:rPr>
        <w:t>từ</w:t>
      </w:r>
      <w:proofErr w:type="spellEnd"/>
      <w:r w:rsidRPr="004D2CC6">
        <w:rPr>
          <w:rStyle w:val="ng-star-inserted1"/>
          <w:rFonts w:ascii="Arial" w:hAnsi="Arial" w:cs="Arial"/>
          <w:sz w:val="28"/>
          <w:szCs w:val="28"/>
        </w:rPr>
        <w:t> </w:t>
      </w:r>
      <w:hyperlink r:id="rId6" w:tgtFrame="_blank" w:history="1">
        <w:r w:rsidRPr="004D2CC6">
          <w:rPr>
            <w:rStyle w:val="ng-star-inserted1"/>
            <w:rFonts w:ascii="Arial" w:hAnsi="Arial" w:cs="Arial"/>
            <w:sz w:val="28"/>
            <w:szCs w:val="28"/>
          </w:rPr>
          <w:t>https://openknowledge.worldbank.org/handle/10986/33966</w:t>
        </w:r>
      </w:hyperlink>
    </w:p>
    <w:p w:rsidR="006E3806" w:rsidRPr="004D2CC6" w:rsidRDefault="006E3806" w:rsidP="006E3806">
      <w:pPr>
        <w:snapToGrid w:val="0"/>
        <w:spacing w:before="120" w:after="0" w:line="360" w:lineRule="auto"/>
        <w:contextualSpacing w:val="0"/>
        <w:rPr>
          <w:rFonts w:ascii="Arial" w:eastAsia="Times New Roman" w:hAnsi="Arial" w:cs="Arial"/>
          <w:sz w:val="28"/>
          <w:szCs w:val="28"/>
        </w:rPr>
      </w:pPr>
      <w:r w:rsidRPr="004D2CC6">
        <w:rPr>
          <w:rFonts w:ascii="Arial" w:eastAsia="Times New Roman" w:hAnsi="Arial" w:cs="Arial"/>
          <w:sz w:val="28"/>
          <w:szCs w:val="28"/>
        </w:rPr>
        <w:t>WTO. (2022). </w:t>
      </w:r>
      <w:r w:rsidRPr="004D2CC6">
        <w:rPr>
          <w:rFonts w:ascii="Arial" w:eastAsia="Times New Roman" w:hAnsi="Arial" w:cs="Arial"/>
          <w:i/>
          <w:iCs/>
          <w:sz w:val="28"/>
          <w:szCs w:val="28"/>
        </w:rPr>
        <w:t>World Trade Statistical Review 2022</w:t>
      </w:r>
      <w:r w:rsidRPr="004D2CC6">
        <w:rPr>
          <w:rFonts w:ascii="Arial" w:eastAsia="Times New Roman" w:hAnsi="Arial" w:cs="Arial"/>
          <w:sz w:val="28"/>
          <w:szCs w:val="28"/>
        </w:rPr>
        <w:t>.</w:t>
      </w:r>
    </w:p>
    <w:p w:rsidR="006E3806" w:rsidRPr="004D2CC6" w:rsidRDefault="006E3806" w:rsidP="006E3806">
      <w:pPr>
        <w:pStyle w:val="ng-star-inserted"/>
        <w:snapToGrid w:val="0"/>
        <w:spacing w:before="120" w:beforeAutospacing="0" w:after="0" w:afterAutospacing="0" w:line="360" w:lineRule="auto"/>
        <w:jc w:val="both"/>
        <w:rPr>
          <w:rStyle w:val="ng-star-inserted1"/>
          <w:rFonts w:ascii="Arial" w:hAnsi="Arial" w:cs="Arial"/>
          <w:sz w:val="28"/>
          <w:szCs w:val="28"/>
        </w:rPr>
      </w:pPr>
    </w:p>
    <w:p w:rsidR="00526831" w:rsidRDefault="00526831">
      <w:bookmarkStart w:id="0" w:name="_GoBack"/>
      <w:bookmarkEnd w:id="0"/>
    </w:p>
    <w:sectPr w:rsidR="00526831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06"/>
    <w:rsid w:val="00526831"/>
    <w:rsid w:val="00535EA9"/>
    <w:rsid w:val="006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D7E3C-3A55-4679-A702-81161E7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806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customStyle="1" w:styleId="ng-star-inserted">
    <w:name w:val="ng-star-inserted"/>
    <w:basedOn w:val="Normal"/>
    <w:rsid w:val="006E3806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ng-star-inserted1">
    <w:name w:val="ng-star-inserted1"/>
    <w:basedOn w:val="DefaultParagraphFont"/>
    <w:rsid w:val="006E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knowledge.worldbank.org/handle/10986/33966" TargetMode="External"/><Relationship Id="rId5" Type="http://schemas.openxmlformats.org/officeDocument/2006/relationships/hyperlink" Target="https://textileexchange.org/material-change-insights-report/" TargetMode="External"/><Relationship Id="rId4" Type="http://schemas.openxmlformats.org/officeDocument/2006/relationships/hyperlink" Target="https://www.mckinsey.com/industries/retail/our-insights/the-future-of-apparel-sour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Thanh Điền</dc:creator>
  <cp:keywords/>
  <dc:description/>
  <cp:lastModifiedBy>Huỳnh Thanh Điền</cp:lastModifiedBy>
  <cp:revision>1</cp:revision>
  <dcterms:created xsi:type="dcterms:W3CDTF">2024-08-18T15:36:00Z</dcterms:created>
  <dcterms:modified xsi:type="dcterms:W3CDTF">2024-08-18T15:36:00Z</dcterms:modified>
</cp:coreProperties>
</file>